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B6" w:rsidRP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Semibold"/>
          <w:b/>
          <w:bCs/>
          <w:sz w:val="24"/>
          <w:szCs w:val="24"/>
          <w:u w:val="single"/>
        </w:rPr>
      </w:pPr>
      <w:r w:rsidRPr="006D68B6">
        <w:rPr>
          <w:rFonts w:ascii="Book Antiqua" w:hAnsi="Book Antiqua" w:cs="MyriadPro-Semibold"/>
          <w:b/>
          <w:bCs/>
          <w:sz w:val="24"/>
          <w:szCs w:val="24"/>
          <w:u w:val="single"/>
        </w:rPr>
        <w:t>Νόμος 4473/2017, ΦΕΚ 78/30-5-2017</w:t>
      </w:r>
    </w:p>
    <w:p w:rsid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Semibold"/>
          <w:b/>
          <w:bCs/>
          <w:sz w:val="24"/>
          <w:szCs w:val="24"/>
        </w:rPr>
      </w:pPr>
    </w:p>
    <w:p w:rsidR="006D68B6" w:rsidRP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Semibold"/>
          <w:b/>
          <w:bCs/>
          <w:sz w:val="24"/>
          <w:szCs w:val="24"/>
        </w:rPr>
      </w:pPr>
      <w:r w:rsidRPr="006D68B6">
        <w:rPr>
          <w:rFonts w:ascii="Book Antiqua" w:hAnsi="Book Antiqua" w:cs="MyriadPro-Semibold"/>
          <w:b/>
          <w:bCs/>
          <w:sz w:val="24"/>
          <w:szCs w:val="24"/>
        </w:rPr>
        <w:t>Άρθρο 2</w:t>
      </w:r>
    </w:p>
    <w:p w:rsid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Semibold"/>
          <w:b/>
          <w:bCs/>
          <w:sz w:val="24"/>
          <w:szCs w:val="24"/>
        </w:rPr>
      </w:pPr>
    </w:p>
    <w:p w:rsidR="006D68B6" w:rsidRP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Semibold"/>
          <w:b/>
          <w:bCs/>
          <w:sz w:val="24"/>
          <w:szCs w:val="24"/>
        </w:rPr>
      </w:pPr>
      <w:r w:rsidRPr="006D68B6">
        <w:rPr>
          <w:rFonts w:ascii="Book Antiqua" w:hAnsi="Book Antiqua" w:cs="MyriadPro-Semibold"/>
          <w:b/>
          <w:bCs/>
          <w:sz w:val="24"/>
          <w:szCs w:val="24"/>
        </w:rPr>
        <w:t>Θέματα διοίκησης των Α.Ε.Ι.</w:t>
      </w:r>
      <w:bookmarkStart w:id="0" w:name="_GoBack"/>
      <w:bookmarkEnd w:id="0"/>
    </w:p>
    <w:p w:rsidR="006D68B6" w:rsidRP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Semibold"/>
          <w:b/>
          <w:bCs/>
          <w:sz w:val="24"/>
          <w:szCs w:val="24"/>
        </w:rPr>
      </w:pPr>
    </w:p>
    <w:p w:rsidR="006D68B6" w:rsidRP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yriadPro-Regular"/>
          <w:sz w:val="24"/>
          <w:szCs w:val="24"/>
        </w:rPr>
      </w:pPr>
      <w:r w:rsidRPr="006D68B6">
        <w:rPr>
          <w:rFonts w:ascii="Book Antiqua" w:hAnsi="Book Antiqua" w:cs="MyriadPro-Regular"/>
          <w:sz w:val="24"/>
          <w:szCs w:val="24"/>
        </w:rPr>
        <w:t>1. Η θητεία των μονομελών και συλλογικών οργάνων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διοίκησης των Ανώτατων Εκπαιδευτικών Ιδρυμάτων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(Α.Ε.Ι.), που λήγει την 31η Αυγούστου 2017, παρατείνεται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έως την 30ή Νοεμβρίου 2017.</w:t>
      </w:r>
    </w:p>
    <w:p w:rsidR="006D68B6" w:rsidRDefault="006D68B6" w:rsidP="006D68B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2. Στην περίπτωση αποχώρησης μονομελών οργάνων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διοίκησης, για οποιονδήποτε λόγο, συμπεριλαμβανομένων της παραίτησης ή της συνταξιοδότησης, η Σύγκλητος του οικείου Ιδρύματος, με απόφασή της που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δημοσιεύεται στην Εφημερίδα της Κυβερνήσεως, ορίζει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ως αντικαταστάτη, μέχρι τη λήξη της προθεσμίας της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παραγράφου 1, τον αρχαιότερο καθηγητή πρώτης βαθμίδας, του οικείου Τομέα, Τμήματος, Σχολής ή Ιδρύματος αναλόγως, με βάση την ημερομηνία διορισμού στην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οικεία βαθμίδα, και σε περίπτωση άρνησης ή ελλείψει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καθηγητή πρώτης βαθμίδας, με τους αμέσως επόμενους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κατά σειρά εξαντλώντας τις βαθμίδες μέχρι και αυτή του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αναπληρωτή καθηγητή, και προκειμένου για Διευθυντή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Τομέα μέχρι αυτή του μόνιμου επίκουρου. Σε περίπτωση καθηγητών ίδιας αρχαιότητας διενεργείται κλήρωση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ενώπιον της Συγκλήτου. Οι κατά τα ανωτέρω θητείες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αντικαταστάσεων δεν θεωρούνται πλήρεις θητείες και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δεν συνιστούν κώλυμα εκλογιμότητας για επόμενη πλήρη</w:t>
      </w:r>
      <w:r w:rsidRPr="006D68B6">
        <w:rPr>
          <w:rFonts w:ascii="Book Antiqua" w:hAnsi="Book Antiqua" w:cs="MyriadPro-Regular"/>
          <w:sz w:val="24"/>
          <w:szCs w:val="24"/>
        </w:rPr>
        <w:t xml:space="preserve"> </w:t>
      </w:r>
      <w:r w:rsidRPr="006D68B6">
        <w:rPr>
          <w:rFonts w:ascii="Book Antiqua" w:hAnsi="Book Antiqua" w:cs="MyriadPro-Regular"/>
          <w:sz w:val="24"/>
          <w:szCs w:val="24"/>
        </w:rPr>
        <w:t>θητεία</w:t>
      </w:r>
      <w:r>
        <w:rPr>
          <w:rFonts w:ascii="MyriadPro-Regular" w:hAnsi="MyriadPro-Regular" w:cs="MyriadPro-Regular"/>
          <w:sz w:val="20"/>
          <w:szCs w:val="20"/>
        </w:rPr>
        <w:t>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sectPr w:rsidR="006D6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B6"/>
    <w:rsid w:val="006D68B6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632D-2298-4491-B75A-584D454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fotis</cp:lastModifiedBy>
  <cp:revision>1</cp:revision>
  <dcterms:created xsi:type="dcterms:W3CDTF">2017-05-31T06:37:00Z</dcterms:created>
  <dcterms:modified xsi:type="dcterms:W3CDTF">2017-05-31T06:41:00Z</dcterms:modified>
</cp:coreProperties>
</file>